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5" w:beforeAutospacing="0" w:after="15" w:afterAutospacing="0" w:line="420" w:lineRule="atLeast"/>
        <w:ind w:left="0" w:firstLine="0"/>
        <w:jc w:val="center"/>
        <w:rPr>
          <w:rFonts w:hint="eastAsia" w:ascii="仿宋" w:hAnsi="仿宋" w:eastAsia="仿宋" w:cs="仿宋"/>
          <w:i w:val="0"/>
          <w:iCs w:val="0"/>
          <w:caps w:val="0"/>
          <w:color w:val="505050"/>
          <w:spacing w:val="0"/>
          <w:sz w:val="28"/>
          <w:szCs w:val="28"/>
          <w:u w:val="none"/>
        </w:rPr>
      </w:pPr>
      <w:bookmarkStart w:id="0" w:name="_GoBack"/>
      <w:r>
        <w:rPr>
          <w:rStyle w:val="5"/>
          <w:rFonts w:hint="eastAsia" w:ascii="仿宋" w:hAnsi="仿宋" w:eastAsia="仿宋" w:cs="仿宋"/>
          <w:i w:val="0"/>
          <w:iCs w:val="0"/>
          <w:caps w:val="0"/>
          <w:color w:val="505050"/>
          <w:spacing w:val="0"/>
          <w:sz w:val="28"/>
          <w:szCs w:val="28"/>
          <w:u w:val="none"/>
          <w:shd w:val="clear" w:fill="FFFFFF"/>
        </w:rPr>
        <w:t>中华人民共和国数据安全法</w:t>
      </w:r>
    </w:p>
    <w:p>
      <w:pPr>
        <w:pStyle w:val="2"/>
        <w:keepNext w:val="0"/>
        <w:keepLines w:val="0"/>
        <w:widowControl/>
        <w:suppressLineNumbers w:val="0"/>
        <w:shd w:val="clear" w:fill="FFFFFF"/>
        <w:spacing w:before="15" w:beforeAutospacing="0" w:after="15" w:afterAutospacing="0" w:line="420" w:lineRule="atLeast"/>
        <w:ind w:left="0" w:firstLine="0"/>
        <w:jc w:val="center"/>
        <w:rPr>
          <w:rFonts w:hint="eastAsia" w:ascii="仿宋" w:hAnsi="仿宋" w:eastAsia="仿宋" w:cs="仿宋"/>
          <w:i w:val="0"/>
          <w:iCs w:val="0"/>
          <w:caps w:val="0"/>
          <w:color w:val="505050"/>
          <w:spacing w:val="0"/>
          <w:sz w:val="28"/>
          <w:szCs w:val="28"/>
          <w:u w:val="none"/>
        </w:rPr>
      </w:pPr>
      <w:r>
        <w:rPr>
          <w:rStyle w:val="5"/>
          <w:rFonts w:hint="eastAsia" w:ascii="仿宋" w:hAnsi="仿宋" w:eastAsia="仿宋" w:cs="仿宋"/>
          <w:i w:val="0"/>
          <w:iCs w:val="0"/>
          <w:caps w:val="0"/>
          <w:color w:val="505050"/>
          <w:spacing w:val="0"/>
          <w:sz w:val="28"/>
          <w:szCs w:val="28"/>
          <w:u w:val="none"/>
          <w:shd w:val="clear" w:fill="FFFFFF"/>
        </w:rPr>
        <w:t>(2021年6月10日第十三届全国人民代表大会常务委员会第二十九次会议通过)</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目录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第一章 总则</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第二章 数据安全与发展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第三章 数据安全制度</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第四章 数据安全保护义务</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第五章 政务数据安全与开放</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第六章 法律责任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第七章 附则</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第一章 总则</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第一条 为了规范数据处理活动，保障数据安全，促进数据开发利用，保护个人、组织的合法权益，维护国家主权、安全和发展利益，制定本法。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第二条 在中华人民共和国境内开展数据处理活动及其安全监管，适用本法。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在中华人民共和国境外开展数据处理活动，损害中华人民共和国国家安全、公共利益或者公民、组织合法权益的，依法追究法律责任。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第三条 本法所称数据，是指任何以电子或者其他方式对信息的记录。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数据处理，包括数据的收集、存储、使用、加工、传输、提供、公开等。</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数据安全，是指通过采取必要措施，确保数据处于有效保护和合法利用的状态，以及具备保障持续安全状态的能力。</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第四条 维护数据安全，应当坚持总体国家安全观，建立健全数据安全治理体系，提高数据安全保障能力。</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第五条 中央国家安全领导机构负责国家数据安全工作的决策和议事协调，研究制定、指导实施国家数据安全战略和有关重大方针政策，统筹协调国家数据安全的重大事项和重要工作，建立国家数据安全工作协调机制。</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第六条 各地区、各部门对本地区、本部门工作中收集和产生的数据及数据安全负责。</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工业、电信、交通、金融、自然资源、卫生健康、教育、科技等主管部门承担本行业、本领域数据安全监管职责。</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公安机关、国家安全机关等依照本法和有关法律、行政法规的规定，在各自职责范围内承担数据安全监管职责。</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国家网信部门依照本法和有关法律、行政法规的规定，负责统筹协调网络数据安全和相关监管工作。</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第七条 国家保护个人、组织与数据有关的权益，鼓励数据依法合理有效利用，保障数据依法有序自由流动，促进以数据为关键要素的数字经济发展。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第八条 开展数据处理活动，应当遵守法律、法规，尊重社会公德和伦理，遵守商业道德和职业道德，诚实守信，履行数据安全保护义务，承担社会责任，不得危害国家安全、公共利益，不得损害个人、组织的合法权益。</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第九条 国家支持开展数据安全知识宣传普及，提高全社会的数据安全保护意识和水平，推动有关部门、行业组织、科研机构、企业、个人等共同参与数据安全保护工作，形成全社会共同维护数据安全和促进发展的良好环境。</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第十条 相关行业组织按照章程，依法制定数据安全行为规范和团体标准，加强行业自律，指导会员加强数据安全保护，提高数据安全保护水平，促进行业健康发展。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第十一条 国家积极开展数据安全治理、数据开发利用等领域的国际交流与合作，参与数据安全相关国际规则和标准的制定，促进数据跨境安全、自由流动。</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第十二条 任何个人、组织都有权对违反本法规定的行为向有关主管部门投诉、举报。收到投诉、举报的部门应当及时依法处理。</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有关主管部门应当对投诉、举报人的相关信息予以保密，保护投诉、举报人的合法权益。</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第二章 数据安全与发展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第十三条 国家统筹发展和安全，坚持以数据开发利用和产业发展促进数据安全，以数据安全保障数据开发利用和产业发展。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第十四条 国家实施大数据战略，推进数据基础设施建设，鼓励和支持数据在各行业、各领域的创新应用。</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省级以上人民政府应当将数字经济发展纳入本级国民经济和社会发展规划，并根据需要制定数字经济发展规划。</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第十五条 国家支持开发利用数据提升公共服务的智能化水平。提供智能化公共服务，应当充分考虑老年人、残疾人的需求，避免对老年人、残疾人的日常生活造成障碍。</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第十六条 国家支持数据开发利用和数据安全技术研究，鼓励数据开发利用和数据安全等领域的技术推广和商业创新，培育、发展数据开发利用和数据安全产品、产业体系。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第十七条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第十八条 国家促进数据安全检测评估、认证等服务的发展，支持数据安全检测评估、认证等专业机构依法开展服务活动。</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国家支持有关部门、行业组织、企业、教育和科研机构、有关专业机构等在数据安全风险评估、防范、处置等方面开展协作。</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第十九条 国家建立健全数据交易管理制度，规范数据交易行为，培育数据交易市场。</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第二十条 国家支持教育、科研机构和企业等开展数据开发利用技术和数据安全相关教育和培训，采取多种方式培养数据开发利用技术和数据安全专业人才，促进人才交流。</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第三章 数据安全制度</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关系国家安全、国民经济命脉、重要民生、重大公共利益等数据属于国家核心数据，实行更加严格的管理制度。</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各地区、各部门应当按照数据分类分级保护制度，确定本地区、本部门以及相关行业、领域的重要数据具体目录，对列入目录的数据进行重点保护。</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第二十二条 国家建立集中统一、高效权威的数据安全风险评估、报告、信息共享、监测预警机制。国家数据安全工作协调机制统筹协调有关部门加强数据安全风险信息的获取、分析、研判、预警工作。</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第二十三条 国家建立数据安全应急处置机制。发生数据安全事件，有关主管部门应当依法启动应急预案，采取相应的应急处置措施，防止危害扩大，消除安全隐患，并及时向社会发布与公众有关的警示信息。</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第二十四条 国家建立数据安全审查制度，对影响或者可能影响国家安全的数据处理活动进行国家安全审查。</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依法作出的安全审查决定为最终决定。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第二十五条 国家对与维护国家安全和利益、履行国际义务相关的属于管制物项的数据依法实施出口管制。</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第二十六条 任何国家或者地区在与数据和数据开发利用技术等有关的投资、贸易等方面对中华人民共和国采取歧视性的禁止、限制或者其他类似措施的，中华人民共和国可以根据实际情况对该国家或者地区对等采取措施。</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第四章 数据安全保护义务</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第二十七条 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重要数据的处理者应当明确数据安全负责人和管理机构，落实数据安全保护责任。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第二十八条 开展数据处理活动以及研究开发数据新技术，应当有利于促进经济社会发展，增进人民福祉，符合社会公德和伦理。</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第二十九条 开展数据处理活动应当加强风险监测，发现数据安全缺陷、漏洞等风险时，应当立即采取补救措施;发生数据安全事件时，应当立即采取处置措施，按照规定及时告知用户并向有关主管部门报告。</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第三十条 重要数据的处理者应当按照规定对其数据处理活动定期开展风险评估，并向有关主管部门报送风险评估报告。</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风险评估报告应当包括处理的重要数据的种类、数量，开展数据处理活动的情况，面临的数据安全风险及其应对措施等。</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第三十一条 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第三十二条 任何组织、个人收集数据，应当采取合法、正当的方式，不得窃取或者以其他非法方式获取数据。</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法律、行政法规对收集、使用数据的目的、范围有规定的，应当在法律、行政法规规定的目的和范围内收集、使用数据。</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第三十三条 从事数据交易中介服务的机构提供服务，应当要求数据提供方说明数据来源，审核交易双方的身份，并留存审核、交易记录。</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第三十四条 法律、行政法规规定提供数据处理相关服务应当取得行政许可的，服务提供者应当依法取得许可。</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第三十五条 公安机关、国家安全机关因依法维护国家安全或者侦查犯罪的需要调取数据，应当按照国家有关规定，经过严格的批准手续，依法进行，有关组织、个人应当予以配合。</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第三十六条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第五章 政务数据安全与开放</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第三十七条 国家大力推进电子政务建设，提高政务数据的科学性、准确性、时效性，提升运用数据服务经济社会发展的能力。</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第三十八条 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第三十九条 国家机关应当依照法律、行政法规的规定，建立健全数据安全管理制度，落实数据安全保护责任，保障政务数据安全。</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第四十条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第四十一条 国家机关应当遵循公正、公平、便民的原则，按照规定及时、准确地公开政务数据。依法不予公开的除外。</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第四十二条 国家制定政务数据开放目录，构建统一规范、互联互通、安全可控的政务数据开放平台，推动政务数据开放利用。</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第四十三条 法律、法规授权的具有管理公共事务职能的组织为履行法定职责开展数据处理活动，适用本章规定。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第六章 法律责任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第四十四条 有关主管部门在履行数据安全监管职责中，发现数据处理活动存在较大安全风险的，可以按照规定的权限和程序对有关组织、个人进行约谈，并要求有关组织、个人采取措施进行整改，消除隐患。</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第四十五条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第四十六条 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第四十七条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第四十八条 违反本法第三十五条规定，拒不配合数据调取的，由有关主管部门责令改正，给予警告，并处五万元以上五十万元以下罚款，对直接负责的主管人员和其他直接责任人员处一万元以上十万元以下罚款。</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第四十九条 国家机关不履行本法规定的数据安全保护义务的，对直接负责的主管人员和其他直接责任人员依法给予处分。</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第五十条 履行数据安全监管职责的国家工作人员玩忽职守、滥用职权、徇私舞弊的，依法给予处分。</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第五十一条 窃取或者以其他非法方式获取数据，开展数据处理活动排除、限制竞争，或者损害个人、组织合法权益的，依照有关法律、行政法规的规定处罚。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第五十二条 违反本法规定，给他人造成损害的，依法承担民事责任。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违反本法规定，构成违反治安管理行为的，依法给予治安管理处罚;构成犯罪的，依法追究刑事责任。</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第七章 附则</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第五十三条 开展涉及国家秘密的数据处理活动，适用《中华人民共和国保守国家秘密法》等法律、行政法规的规定。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在统计、档案工作中开展数据处理活动，开展涉及个人信息的数据处理活动，还应当遵守有关法律、行政法规的规定。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第五十四条 军事数据安全保护的办法，由中央军事委员会依据本法另行制定。</w:t>
      </w:r>
    </w:p>
    <w:p>
      <w:pPr>
        <w:pStyle w:val="2"/>
        <w:keepNext w:val="0"/>
        <w:keepLines w:val="0"/>
        <w:widowControl/>
        <w:suppressLineNumbers w:val="0"/>
        <w:shd w:val="clear" w:fill="FFFFFF"/>
        <w:spacing w:before="15" w:beforeAutospacing="0" w:after="15" w:afterAutospacing="0" w:line="420" w:lineRule="atLeast"/>
        <w:ind w:left="0" w:firstLine="420"/>
        <w:jc w:val="both"/>
        <w:rPr>
          <w:rFonts w:hint="eastAsia" w:ascii="仿宋" w:hAnsi="仿宋" w:eastAsia="仿宋" w:cs="仿宋"/>
          <w:i w:val="0"/>
          <w:iCs w:val="0"/>
          <w:caps w:val="0"/>
          <w:color w:val="505050"/>
          <w:spacing w:val="0"/>
          <w:sz w:val="28"/>
          <w:szCs w:val="28"/>
          <w:u w:val="none"/>
        </w:rPr>
      </w:pPr>
      <w:r>
        <w:rPr>
          <w:rFonts w:hint="eastAsia" w:ascii="仿宋" w:hAnsi="仿宋" w:eastAsia="仿宋" w:cs="仿宋"/>
          <w:i w:val="0"/>
          <w:iCs w:val="0"/>
          <w:caps w:val="0"/>
          <w:color w:val="505050"/>
          <w:spacing w:val="0"/>
          <w:sz w:val="28"/>
          <w:szCs w:val="28"/>
          <w:u w:val="none"/>
          <w:shd w:val="clear" w:fill="FFFFFF"/>
        </w:rPr>
        <w:t>第五十五条 本法自2021年9月1日起施行。</w:t>
      </w:r>
    </w:p>
    <w:p>
      <w:pPr>
        <w:rPr>
          <w:rFonts w:hint="eastAsia" w:ascii="仿宋" w:hAnsi="仿宋" w:eastAsia="仿宋" w:cs="仿宋"/>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63D3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2024-04-15T03:28:55Z</dcterms:created>
  <dc:creator>jjlgzyxy</dc:creator>
  <cp:lastModifiedBy>10</cp:lastModifiedBy>
  <dcterms:modified xsi:type="dcterms:W3CDTF">2024-04-15T03:29:03Z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C7365612EA3A4403BB7E5155B3D04CD5_12</vt:lpwstr>
  </property>
</Properties>
</file>