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附件2：九江理工职业学院开设专业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览表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499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黑体"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黑体"/>
                <w:color w:val="000000"/>
                <w:kern w:val="0"/>
                <w:sz w:val="24"/>
                <w:lang w:bidi="ar"/>
              </w:rPr>
              <w:t>培养层次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restart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黑体"/>
                <w:color w:val="000000"/>
                <w:kern w:val="0"/>
                <w:sz w:val="24"/>
                <w:lang w:bidi="ar"/>
              </w:rPr>
              <w:t>信息与制造工程学院</w:t>
            </w: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软件技术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数控技术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restart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</w:rPr>
            </w:pPr>
          </w:p>
          <w:p>
            <w:pPr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黑体"/>
                <w:sz w:val="24"/>
              </w:rPr>
              <w:t>经济管理学院</w:t>
            </w: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商务管理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restart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黑体"/>
                <w:color w:val="000000"/>
                <w:kern w:val="0"/>
                <w:sz w:val="24"/>
                <w:lang w:bidi="ar"/>
              </w:rPr>
              <w:t>文化艺术与教育学院</w:t>
            </w: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播音与主持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40" w:type="dxa"/>
            <w:vMerge w:val="continue"/>
          </w:tcPr>
          <w:p>
            <w:pPr>
              <w:widowControl/>
              <w:textAlignment w:val="center"/>
              <w:rPr>
                <w:rFonts w:ascii="仿宋_GB2312" w:hAnsi="仿宋_GB2312" w:eastAsia="仿宋_GB2312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183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  <w:lang w:bidi="ar"/>
              </w:rPr>
              <w:t>高职大专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zUzNTRhOGJhNDE1ZDliMGZkNmZkNWU1ODUzYmMifQ=="/>
  </w:docVars>
  <w:rsids>
    <w:rsidRoot w:val="34EC7C4C"/>
    <w:rsid w:val="34EC7C4C"/>
    <w:rsid w:val="717D5F48"/>
    <w:rsid w:val="769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2023-04-21T02:50:00Z</dcterms:created>
  <dc:creator>狗狗</dc:creator>
  <cp:lastModifiedBy>狗狗</cp:lastModifiedBy>
  <dcterms:modified xsi:type="dcterms:W3CDTF">2023-04-21T02:53:46Z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9CFFB3A9C02D43B787AF04631FE2D630_13</vt:lpwstr>
  </property>
</Properties>
</file>